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2A6" w:rsidRPr="000922CC" w:rsidRDefault="008D52A6" w:rsidP="008D52A6">
      <w:pPr>
        <w:ind w:rightChars="-14" w:right="-29"/>
        <w:jc w:val="center"/>
        <w:rPr>
          <w:rFonts w:hint="eastAsia"/>
          <w:b/>
          <w:bCs/>
          <w:sz w:val="28"/>
          <w:szCs w:val="28"/>
        </w:rPr>
      </w:pPr>
      <w:bookmarkStart w:id="0" w:name="_GoBack"/>
      <w:r w:rsidRPr="000922CC">
        <w:rPr>
          <w:rFonts w:hint="eastAsia"/>
          <w:b/>
          <w:bCs/>
          <w:sz w:val="28"/>
          <w:szCs w:val="28"/>
        </w:rPr>
        <w:t>云南煤化工集团有限公司拟以股权作价出资所涉及的</w:t>
      </w:r>
    </w:p>
    <w:p w:rsidR="008D52A6" w:rsidRPr="000922CC" w:rsidRDefault="008D52A6" w:rsidP="008D52A6">
      <w:pPr>
        <w:ind w:rightChars="-14" w:right="-29"/>
        <w:jc w:val="center"/>
        <w:rPr>
          <w:b/>
          <w:bCs/>
          <w:sz w:val="28"/>
          <w:szCs w:val="28"/>
        </w:rPr>
      </w:pPr>
      <w:r w:rsidRPr="000922CC">
        <w:rPr>
          <w:rFonts w:hint="eastAsia"/>
          <w:b/>
          <w:bCs/>
          <w:sz w:val="28"/>
          <w:szCs w:val="28"/>
        </w:rPr>
        <w:t>云南东源煤电股份有限公司股东全部权益价值评估项目</w:t>
      </w:r>
    </w:p>
    <w:p w:rsidR="008D52A6" w:rsidRPr="00DB796D" w:rsidRDefault="008D52A6" w:rsidP="008D52A6">
      <w:pPr>
        <w:ind w:rightChars="-14" w:right="-29"/>
        <w:jc w:val="center"/>
        <w:rPr>
          <w:b/>
          <w:sz w:val="36"/>
          <w:szCs w:val="36"/>
        </w:rPr>
      </w:pPr>
      <w:r w:rsidRPr="00DB796D">
        <w:rPr>
          <w:b/>
          <w:sz w:val="40"/>
          <w:szCs w:val="40"/>
        </w:rPr>
        <w:t>资产评估报告</w:t>
      </w:r>
      <w:r w:rsidRPr="00DB796D">
        <w:rPr>
          <w:b/>
          <w:sz w:val="36"/>
          <w:szCs w:val="36"/>
        </w:rPr>
        <w:t>摘要</w:t>
      </w:r>
      <w:bookmarkEnd w:id="0"/>
    </w:p>
    <w:p w:rsidR="008D52A6" w:rsidRDefault="008D52A6" w:rsidP="008D52A6">
      <w:pPr>
        <w:pStyle w:val="a3"/>
        <w:spacing w:line="360" w:lineRule="auto"/>
        <w:ind w:firstLineChars="200" w:firstLine="480"/>
        <w:rPr>
          <w:rFonts w:ascii="Times New Roman"/>
          <w:sz w:val="24"/>
        </w:rPr>
      </w:pPr>
      <w:r w:rsidRPr="00D91118">
        <w:rPr>
          <w:rFonts w:ascii="Times New Roman"/>
          <w:sz w:val="24"/>
        </w:rPr>
        <w:t>评估目的：</w:t>
      </w:r>
      <w:bookmarkStart w:id="1" w:name="_Hlk27084304"/>
      <w:r>
        <w:rPr>
          <w:rFonts w:ascii="Times New Roman" w:hint="eastAsia"/>
          <w:sz w:val="24"/>
        </w:rPr>
        <w:t>云南煤化工集团有限公司拟以股权作价出资，需对该事宜所涉及的云南东源煤电股份有限公司股东全部权益价值进行评估，</w:t>
      </w:r>
      <w:r w:rsidRPr="00D91118">
        <w:rPr>
          <w:rFonts w:ascii="Times New Roman"/>
          <w:sz w:val="24"/>
        </w:rPr>
        <w:t>为上述经济行为提供价值参考依据</w:t>
      </w:r>
      <w:r>
        <w:rPr>
          <w:rFonts w:ascii="Times New Roman" w:hint="eastAsia"/>
          <w:sz w:val="24"/>
        </w:rPr>
        <w:t>。</w:t>
      </w:r>
    </w:p>
    <w:bookmarkEnd w:id="1"/>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评估对象：</w:t>
      </w:r>
      <w:r>
        <w:rPr>
          <w:rFonts w:ascii="Times New Roman"/>
          <w:sz w:val="24"/>
        </w:rPr>
        <w:t>云南东源煤电股份有限公司</w:t>
      </w:r>
      <w:r w:rsidRPr="00D91118">
        <w:rPr>
          <w:rFonts w:ascii="Times New Roman"/>
          <w:sz w:val="24"/>
        </w:rPr>
        <w:t>的股东全部权益。</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评估范围：</w:t>
      </w:r>
      <w:r>
        <w:rPr>
          <w:rFonts w:ascii="Times New Roman"/>
          <w:sz w:val="24"/>
        </w:rPr>
        <w:t>云南东源煤电股份有限公司</w:t>
      </w:r>
      <w:r w:rsidRPr="00D91118">
        <w:rPr>
          <w:rFonts w:ascii="Times New Roman"/>
          <w:sz w:val="24"/>
        </w:rPr>
        <w:t>的全部资产及负债，包括流动资产、长期股权投资、固定资产、在建工程、无形资产</w:t>
      </w:r>
      <w:r>
        <w:rPr>
          <w:rFonts w:ascii="Times New Roman" w:hint="eastAsia"/>
          <w:sz w:val="24"/>
        </w:rPr>
        <w:t>、其他非流动资产、</w:t>
      </w:r>
      <w:r w:rsidRPr="00D91118">
        <w:rPr>
          <w:rFonts w:ascii="Times New Roman"/>
          <w:sz w:val="24"/>
        </w:rPr>
        <w:t>流动负债和非流动负债。</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评估基准日：</w:t>
      </w:r>
      <w:r w:rsidRPr="00D91118">
        <w:rPr>
          <w:rFonts w:ascii="Times New Roman"/>
          <w:sz w:val="24"/>
        </w:rPr>
        <w:t>201</w:t>
      </w:r>
      <w:r>
        <w:rPr>
          <w:rFonts w:ascii="Times New Roman"/>
          <w:sz w:val="24"/>
        </w:rPr>
        <w:t>9</w:t>
      </w:r>
      <w:r w:rsidRPr="00D91118">
        <w:rPr>
          <w:rFonts w:ascii="Times New Roman"/>
          <w:sz w:val="24"/>
        </w:rPr>
        <w:t>年</w:t>
      </w:r>
      <w:r>
        <w:rPr>
          <w:rFonts w:ascii="Times New Roman"/>
          <w:sz w:val="24"/>
        </w:rPr>
        <w:t>9</w:t>
      </w:r>
      <w:r w:rsidRPr="00D91118">
        <w:rPr>
          <w:rFonts w:ascii="Times New Roman"/>
          <w:sz w:val="24"/>
        </w:rPr>
        <w:t>月</w:t>
      </w:r>
      <w:r w:rsidRPr="00D91118">
        <w:rPr>
          <w:rFonts w:ascii="Times New Roman"/>
          <w:sz w:val="24"/>
        </w:rPr>
        <w:t>3</w:t>
      </w:r>
      <w:r>
        <w:rPr>
          <w:rFonts w:ascii="Times New Roman"/>
          <w:sz w:val="24"/>
        </w:rPr>
        <w:t>0</w:t>
      </w:r>
      <w:r w:rsidRPr="00D91118">
        <w:rPr>
          <w:rFonts w:ascii="Times New Roman"/>
          <w:sz w:val="24"/>
        </w:rPr>
        <w:t>日。</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价值类型：市场价值</w:t>
      </w:r>
      <w:r w:rsidRPr="00D91118">
        <w:rPr>
          <w:rFonts w:ascii="Times New Roman" w:hint="eastAsia"/>
          <w:sz w:val="24"/>
        </w:rPr>
        <w:t>。</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评估方法：资产基础法</w:t>
      </w:r>
      <w:r w:rsidRPr="00D91118">
        <w:rPr>
          <w:rFonts w:ascii="Times New Roman" w:hint="eastAsia"/>
          <w:sz w:val="24"/>
        </w:rPr>
        <w:t>。</w:t>
      </w:r>
    </w:p>
    <w:p w:rsidR="008D52A6" w:rsidRPr="00D91118" w:rsidRDefault="008D52A6" w:rsidP="008D52A6">
      <w:pPr>
        <w:pStyle w:val="a3"/>
        <w:spacing w:line="360" w:lineRule="auto"/>
        <w:ind w:firstLineChars="200" w:firstLine="480"/>
        <w:rPr>
          <w:rFonts w:ascii="Times New Roman"/>
          <w:sz w:val="24"/>
        </w:rPr>
      </w:pPr>
      <w:r w:rsidRPr="00D91118">
        <w:rPr>
          <w:rFonts w:ascii="Times New Roman"/>
          <w:sz w:val="24"/>
        </w:rPr>
        <w:t>评估结论：本资产评估报告选用资产基础法评估结果作为评估结论。具体结论如下：</w:t>
      </w:r>
    </w:p>
    <w:p w:rsidR="008D52A6" w:rsidRPr="00D91118" w:rsidRDefault="008D52A6" w:rsidP="008D52A6">
      <w:pPr>
        <w:spacing w:before="120" w:after="120"/>
        <w:jc w:val="center"/>
        <w:rPr>
          <w:sz w:val="28"/>
        </w:rPr>
      </w:pPr>
      <w:r w:rsidRPr="00D91118">
        <w:rPr>
          <w:b/>
          <w:bCs/>
          <w:sz w:val="24"/>
        </w:rPr>
        <w:t>资产评估结果汇总表</w:t>
      </w:r>
    </w:p>
    <w:p w:rsidR="008D52A6" w:rsidRDefault="008D52A6" w:rsidP="008D52A6">
      <w:pPr>
        <w:ind w:right="210"/>
        <w:jc w:val="right"/>
        <w:rPr>
          <w:szCs w:val="21"/>
        </w:rPr>
      </w:pPr>
      <w:r w:rsidRPr="00D91118">
        <w:rPr>
          <w:szCs w:val="21"/>
        </w:rPr>
        <w:t>金额单位：人民币万元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656"/>
        <w:gridCol w:w="396"/>
        <w:gridCol w:w="1373"/>
        <w:gridCol w:w="1373"/>
        <w:gridCol w:w="1374"/>
        <w:gridCol w:w="1374"/>
      </w:tblGrid>
      <w:tr w:rsidR="008D52A6" w:rsidRPr="00FE16A7" w:rsidTr="008F2D41">
        <w:trPr>
          <w:trHeight w:val="332"/>
          <w:tblHeader/>
        </w:trPr>
        <w:tc>
          <w:tcPr>
            <w:tcW w:w="1540" w:type="pct"/>
            <w:gridSpan w:val="3"/>
            <w:vMerge w:val="restar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项</w:t>
            </w:r>
            <w:r w:rsidRPr="00FE16A7">
              <w:rPr>
                <w:b/>
                <w:bCs/>
                <w:kern w:val="0"/>
                <w:sz w:val="18"/>
                <w:szCs w:val="18"/>
              </w:rPr>
              <w:t xml:space="preserve">      </w:t>
            </w:r>
            <w:r w:rsidRPr="00FE16A7">
              <w:rPr>
                <w:rFonts w:ascii="宋体" w:hAnsi="宋体" w:hint="eastAsia"/>
                <w:b/>
                <w:bCs/>
                <w:kern w:val="0"/>
                <w:sz w:val="18"/>
                <w:szCs w:val="18"/>
              </w:rPr>
              <w:t>目</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账面净值</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评估价值</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增减值</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增值率</w:t>
            </w:r>
            <w:r w:rsidRPr="00FE16A7">
              <w:rPr>
                <w:b/>
                <w:bCs/>
                <w:kern w:val="0"/>
                <w:sz w:val="18"/>
                <w:szCs w:val="18"/>
              </w:rPr>
              <w:t>%</w:t>
            </w:r>
          </w:p>
        </w:tc>
      </w:tr>
      <w:tr w:rsidR="008D52A6" w:rsidRPr="00FE16A7" w:rsidTr="008F2D41">
        <w:trPr>
          <w:trHeight w:val="332"/>
          <w:tblHeader/>
        </w:trPr>
        <w:tc>
          <w:tcPr>
            <w:tcW w:w="1540" w:type="pct"/>
            <w:gridSpan w:val="3"/>
            <w:vMerge/>
            <w:vAlign w:val="center"/>
            <w:hideMark/>
          </w:tcPr>
          <w:p w:rsidR="008D52A6" w:rsidRPr="00FE16A7" w:rsidRDefault="008D52A6" w:rsidP="008F2D41">
            <w:pPr>
              <w:widowControl/>
              <w:jc w:val="left"/>
              <w:rPr>
                <w:b/>
                <w:bCs/>
                <w:kern w:val="0"/>
                <w:sz w:val="18"/>
                <w:szCs w:val="18"/>
              </w:rPr>
            </w:pP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A</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B</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C=B-A</w:t>
            </w:r>
          </w:p>
        </w:tc>
        <w:tc>
          <w:tcPr>
            <w:tcW w:w="865" w:type="pct"/>
            <w:shd w:val="clear" w:color="auto" w:fill="auto"/>
            <w:vAlign w:val="center"/>
            <w:hideMark/>
          </w:tcPr>
          <w:p w:rsidR="008D52A6" w:rsidRPr="00FE16A7" w:rsidRDefault="008D52A6" w:rsidP="008F2D41">
            <w:pPr>
              <w:widowControl/>
              <w:jc w:val="center"/>
              <w:rPr>
                <w:b/>
                <w:bCs/>
                <w:kern w:val="0"/>
                <w:sz w:val="18"/>
                <w:szCs w:val="18"/>
              </w:rPr>
            </w:pPr>
            <w:r w:rsidRPr="00FE16A7">
              <w:rPr>
                <w:b/>
                <w:bCs/>
                <w:kern w:val="0"/>
                <w:sz w:val="18"/>
                <w:szCs w:val="18"/>
              </w:rPr>
              <w:t>D=C/A×100</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流动资产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183,611.47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185,465.77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1,854.30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1.01</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非流动资产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2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184,892.02</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159,742.87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-25,149.15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-13.60</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其中：</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长期股权投资</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3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4,919.66</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9,171.09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4,251.43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86.42</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投资性房地产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4 </w:t>
            </w:r>
          </w:p>
        </w:tc>
        <w:tc>
          <w:tcPr>
            <w:tcW w:w="865" w:type="pct"/>
            <w:shd w:val="clear" w:color="auto" w:fill="auto"/>
            <w:noWrap/>
            <w:vAlign w:val="center"/>
            <w:hideMark/>
          </w:tcPr>
          <w:p w:rsidR="008D52A6" w:rsidRPr="00FE16A7" w:rsidRDefault="008D52A6" w:rsidP="008F2D41">
            <w:pPr>
              <w:widowControl/>
              <w:jc w:val="right"/>
              <w:rPr>
                <w:rFonts w:ascii="宋体" w:hAnsi="宋体"/>
                <w:color w:val="FFFFFF"/>
                <w:kern w:val="0"/>
                <w:sz w:val="18"/>
                <w:szCs w:val="18"/>
              </w:rPr>
            </w:pPr>
            <w:r w:rsidRPr="00FE16A7">
              <w:rPr>
                <w:rFonts w:ascii="宋体" w:hAnsi="宋体" w:hint="eastAsia"/>
                <w:color w:val="FFFFFF"/>
                <w:kern w:val="0"/>
                <w:sz w:val="18"/>
                <w:szCs w:val="18"/>
              </w:rPr>
              <w:t>-</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0.00</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0.00</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rFonts w:hint="eastAsia"/>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固定资产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5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61,427.29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105,992.48</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44,565.19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72.55</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rFonts w:ascii="宋体" w:hAnsi="宋体" w:cs="宋体"/>
                <w:kern w:val="0"/>
                <w:sz w:val="18"/>
                <w:szCs w:val="18"/>
              </w:rPr>
            </w:pPr>
            <w:r w:rsidRPr="00FE16A7">
              <w:rPr>
                <w:rFonts w:ascii="宋体" w:hAnsi="宋体" w:cs="宋体" w:hint="eastAsia"/>
                <w:kern w:val="0"/>
                <w:sz w:val="18"/>
                <w:szCs w:val="18"/>
              </w:rPr>
              <w:t>其中：建筑物类</w:t>
            </w:r>
          </w:p>
        </w:tc>
        <w:tc>
          <w:tcPr>
            <w:tcW w:w="217" w:type="pct"/>
            <w:shd w:val="clear" w:color="auto" w:fill="auto"/>
            <w:noWrap/>
            <w:vAlign w:val="center"/>
            <w:hideMark/>
          </w:tcPr>
          <w:p w:rsidR="008D52A6" w:rsidRPr="00FE16A7" w:rsidRDefault="008D52A6" w:rsidP="008F2D41">
            <w:pPr>
              <w:widowControl/>
              <w:jc w:val="center"/>
              <w:rPr>
                <w:rFonts w:hint="eastAsia"/>
                <w:kern w:val="0"/>
                <w:sz w:val="18"/>
                <w:szCs w:val="18"/>
              </w:rPr>
            </w:pPr>
            <w:r w:rsidRPr="00FE16A7">
              <w:rPr>
                <w:kern w:val="0"/>
                <w:sz w:val="18"/>
                <w:szCs w:val="18"/>
              </w:rPr>
              <w:t xml:space="preserve">6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40,715.90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78,231.93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37,516.03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92.14</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设备类</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7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20,711.39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27,760.55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7,049.16</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34.04</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在建工程</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8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14,557.20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14,617.94</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60.74</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0.42</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无形资产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9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1,702.99</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1,642.13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-60.86</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-3.57</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其中：土地使用权</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10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1,701.67</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1,641.40</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-60.27</w:t>
            </w:r>
          </w:p>
        </w:tc>
        <w:tc>
          <w:tcPr>
            <w:tcW w:w="865" w:type="pct"/>
            <w:shd w:val="clear" w:color="auto" w:fill="auto"/>
            <w:noWrap/>
            <w:vAlign w:val="center"/>
            <w:hideMark/>
          </w:tcPr>
          <w:p w:rsidR="008D52A6" w:rsidRPr="00FE16A7" w:rsidRDefault="008D52A6" w:rsidP="008F2D41">
            <w:pPr>
              <w:widowControl/>
              <w:jc w:val="right"/>
              <w:rPr>
                <w:rFonts w:ascii="宋体" w:hAnsi="宋体"/>
                <w:color w:val="FFFFFF"/>
                <w:kern w:val="0"/>
                <w:sz w:val="18"/>
                <w:szCs w:val="18"/>
              </w:rPr>
            </w:pPr>
            <w:r w:rsidRPr="00FE16A7">
              <w:rPr>
                <w:rFonts w:ascii="宋体" w:hAnsi="宋体" w:hint="eastAsia"/>
                <w:color w:val="FFFFFF"/>
                <w:kern w:val="0"/>
                <w:sz w:val="18"/>
                <w:szCs w:val="18"/>
              </w:rPr>
              <w:t>0.00</w:t>
            </w:r>
          </w:p>
        </w:tc>
      </w:tr>
      <w:tr w:rsidR="008D52A6" w:rsidRPr="00FE16A7" w:rsidTr="008F2D41">
        <w:trPr>
          <w:trHeight w:val="360"/>
        </w:trPr>
        <w:tc>
          <w:tcPr>
            <w:tcW w:w="415" w:type="pct"/>
            <w:shd w:val="clear" w:color="auto" w:fill="auto"/>
            <w:noWrap/>
            <w:vAlign w:val="center"/>
            <w:hideMark/>
          </w:tcPr>
          <w:p w:rsidR="008D52A6" w:rsidRPr="00FE16A7" w:rsidRDefault="008D52A6" w:rsidP="008F2D41">
            <w:pPr>
              <w:widowControl/>
              <w:jc w:val="left"/>
              <w:rPr>
                <w:rFonts w:hint="eastAsia"/>
                <w:kern w:val="0"/>
                <w:sz w:val="18"/>
                <w:szCs w:val="18"/>
              </w:rPr>
            </w:pPr>
            <w:r w:rsidRPr="00FE16A7">
              <w:rPr>
                <w:kern w:val="0"/>
                <w:sz w:val="18"/>
                <w:szCs w:val="18"/>
              </w:rPr>
              <w:t xml:space="preserve">　</w:t>
            </w:r>
          </w:p>
        </w:tc>
        <w:tc>
          <w:tcPr>
            <w:tcW w:w="908" w:type="pct"/>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其他非流动资产</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11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102,284.88</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28,319.23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-73,965.65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资产总计</w:t>
            </w:r>
          </w:p>
        </w:tc>
        <w:tc>
          <w:tcPr>
            <w:tcW w:w="217" w:type="pct"/>
            <w:shd w:val="clear" w:color="auto" w:fill="auto"/>
            <w:noWrap/>
            <w:vAlign w:val="center"/>
            <w:hideMark/>
          </w:tcPr>
          <w:p w:rsidR="008D52A6" w:rsidRPr="00FE16A7" w:rsidRDefault="008D52A6" w:rsidP="008F2D41">
            <w:pPr>
              <w:widowControl/>
              <w:jc w:val="center"/>
              <w:rPr>
                <w:b/>
                <w:bCs/>
                <w:kern w:val="0"/>
                <w:sz w:val="18"/>
                <w:szCs w:val="18"/>
              </w:rPr>
            </w:pPr>
            <w:r w:rsidRPr="00FE16A7">
              <w:rPr>
                <w:b/>
                <w:bCs/>
                <w:kern w:val="0"/>
                <w:sz w:val="18"/>
                <w:szCs w:val="18"/>
              </w:rPr>
              <w:t xml:space="preserve">12 </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368,503.48</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345,208.65</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-23,294.83</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-6.32</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kern w:val="0"/>
                <w:sz w:val="18"/>
                <w:szCs w:val="18"/>
              </w:rPr>
            </w:pPr>
            <w:r w:rsidRPr="00FE16A7">
              <w:rPr>
                <w:rFonts w:ascii="宋体" w:hAnsi="宋体" w:hint="eastAsia"/>
                <w:kern w:val="0"/>
                <w:sz w:val="18"/>
                <w:szCs w:val="18"/>
              </w:rPr>
              <w:t>流动负债</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13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86,338.53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86,338.53</w:t>
            </w:r>
          </w:p>
        </w:tc>
        <w:tc>
          <w:tcPr>
            <w:tcW w:w="865" w:type="pct"/>
            <w:shd w:val="clear" w:color="auto" w:fill="auto"/>
            <w:noWrap/>
            <w:vAlign w:val="center"/>
            <w:hideMark/>
          </w:tcPr>
          <w:p w:rsidR="008D52A6" w:rsidRPr="00FE16A7" w:rsidRDefault="008D52A6" w:rsidP="008F2D41">
            <w:pPr>
              <w:widowControl/>
              <w:jc w:val="right"/>
              <w:rPr>
                <w:rFonts w:ascii="宋体" w:hAnsi="宋体"/>
                <w:color w:val="FFFFFF"/>
                <w:kern w:val="0"/>
                <w:sz w:val="18"/>
                <w:szCs w:val="18"/>
              </w:rPr>
            </w:pPr>
            <w:r w:rsidRPr="00FE16A7">
              <w:rPr>
                <w:rFonts w:ascii="宋体" w:hAnsi="宋体" w:hint="eastAsia"/>
                <w:color w:val="FFFFFF"/>
                <w:kern w:val="0"/>
                <w:sz w:val="18"/>
                <w:szCs w:val="18"/>
              </w:rPr>
              <w:t>0.00</w:t>
            </w:r>
          </w:p>
        </w:tc>
        <w:tc>
          <w:tcPr>
            <w:tcW w:w="865" w:type="pct"/>
            <w:shd w:val="clear" w:color="auto" w:fill="auto"/>
            <w:noWrap/>
            <w:vAlign w:val="center"/>
            <w:hideMark/>
          </w:tcPr>
          <w:p w:rsidR="008D52A6" w:rsidRPr="00FE16A7" w:rsidRDefault="008D52A6" w:rsidP="008F2D41">
            <w:pPr>
              <w:widowControl/>
              <w:jc w:val="right"/>
              <w:rPr>
                <w:rFonts w:ascii="宋体" w:hAnsi="宋体" w:hint="eastAsia"/>
                <w:color w:val="FFFFFF"/>
                <w:kern w:val="0"/>
                <w:sz w:val="18"/>
                <w:szCs w:val="18"/>
              </w:rPr>
            </w:pPr>
            <w:r w:rsidRPr="00FE16A7">
              <w:rPr>
                <w:rFonts w:ascii="宋体" w:hAnsi="宋体" w:hint="eastAsia"/>
                <w:color w:val="FFFFFF"/>
                <w:kern w:val="0"/>
                <w:sz w:val="18"/>
                <w:szCs w:val="18"/>
              </w:rPr>
              <w:t>0.00</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left"/>
              <w:rPr>
                <w:rFonts w:hint="eastAsia"/>
                <w:kern w:val="0"/>
                <w:sz w:val="18"/>
                <w:szCs w:val="18"/>
              </w:rPr>
            </w:pPr>
            <w:r w:rsidRPr="00FE16A7">
              <w:rPr>
                <w:rFonts w:ascii="宋体" w:hAnsi="宋体" w:hint="eastAsia"/>
                <w:kern w:val="0"/>
                <w:sz w:val="18"/>
                <w:szCs w:val="18"/>
              </w:rPr>
              <w:lastRenderedPageBreak/>
              <w:t>非流动负债</w:t>
            </w:r>
          </w:p>
        </w:tc>
        <w:tc>
          <w:tcPr>
            <w:tcW w:w="217" w:type="pct"/>
            <w:shd w:val="clear" w:color="auto" w:fill="auto"/>
            <w:noWrap/>
            <w:vAlign w:val="center"/>
            <w:hideMark/>
          </w:tcPr>
          <w:p w:rsidR="008D52A6" w:rsidRPr="00FE16A7" w:rsidRDefault="008D52A6" w:rsidP="008F2D41">
            <w:pPr>
              <w:widowControl/>
              <w:jc w:val="center"/>
              <w:rPr>
                <w:kern w:val="0"/>
                <w:sz w:val="18"/>
                <w:szCs w:val="18"/>
              </w:rPr>
            </w:pPr>
            <w:r w:rsidRPr="00FE16A7">
              <w:rPr>
                <w:kern w:val="0"/>
                <w:sz w:val="18"/>
                <w:szCs w:val="18"/>
              </w:rPr>
              <w:t xml:space="preserve">14 </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57,320.68</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52,205.75</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-5,114.93</w:t>
            </w:r>
          </w:p>
        </w:tc>
        <w:tc>
          <w:tcPr>
            <w:tcW w:w="865" w:type="pct"/>
            <w:shd w:val="clear" w:color="auto" w:fill="auto"/>
            <w:noWrap/>
            <w:vAlign w:val="center"/>
            <w:hideMark/>
          </w:tcPr>
          <w:p w:rsidR="008D52A6" w:rsidRPr="00FE16A7" w:rsidRDefault="008D52A6" w:rsidP="008F2D41">
            <w:pPr>
              <w:widowControl/>
              <w:jc w:val="right"/>
              <w:rPr>
                <w:kern w:val="0"/>
                <w:sz w:val="18"/>
                <w:szCs w:val="18"/>
              </w:rPr>
            </w:pPr>
            <w:r w:rsidRPr="00FE16A7">
              <w:rPr>
                <w:kern w:val="0"/>
                <w:sz w:val="18"/>
                <w:szCs w:val="18"/>
              </w:rPr>
              <w:t>-8.92</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负债总计</w:t>
            </w:r>
          </w:p>
        </w:tc>
        <w:tc>
          <w:tcPr>
            <w:tcW w:w="217" w:type="pct"/>
            <w:shd w:val="clear" w:color="auto" w:fill="auto"/>
            <w:noWrap/>
            <w:vAlign w:val="center"/>
            <w:hideMark/>
          </w:tcPr>
          <w:p w:rsidR="008D52A6" w:rsidRPr="00FE16A7" w:rsidRDefault="008D52A6" w:rsidP="008F2D41">
            <w:pPr>
              <w:widowControl/>
              <w:jc w:val="center"/>
              <w:rPr>
                <w:b/>
                <w:bCs/>
                <w:kern w:val="0"/>
                <w:sz w:val="18"/>
                <w:szCs w:val="18"/>
              </w:rPr>
            </w:pPr>
            <w:r w:rsidRPr="00FE16A7">
              <w:rPr>
                <w:b/>
                <w:bCs/>
                <w:kern w:val="0"/>
                <w:sz w:val="18"/>
                <w:szCs w:val="18"/>
              </w:rPr>
              <w:t xml:space="preserve">15 </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143,659.21</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138,544.28</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-5,114.93</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-3.56</w:t>
            </w:r>
          </w:p>
        </w:tc>
      </w:tr>
      <w:tr w:rsidR="008D52A6" w:rsidRPr="00FE16A7" w:rsidTr="008F2D41">
        <w:trPr>
          <w:trHeight w:val="360"/>
        </w:trPr>
        <w:tc>
          <w:tcPr>
            <w:tcW w:w="1323" w:type="pct"/>
            <w:gridSpan w:val="2"/>
            <w:shd w:val="clear" w:color="auto" w:fill="auto"/>
            <w:noWrap/>
            <w:vAlign w:val="center"/>
            <w:hideMark/>
          </w:tcPr>
          <w:p w:rsidR="008D52A6" w:rsidRPr="00FE16A7" w:rsidRDefault="008D52A6" w:rsidP="008F2D41">
            <w:pPr>
              <w:widowControl/>
              <w:jc w:val="center"/>
              <w:rPr>
                <w:b/>
                <w:bCs/>
                <w:kern w:val="0"/>
                <w:sz w:val="18"/>
                <w:szCs w:val="18"/>
              </w:rPr>
            </w:pPr>
            <w:r w:rsidRPr="00FE16A7">
              <w:rPr>
                <w:rFonts w:ascii="宋体" w:hAnsi="宋体" w:hint="eastAsia"/>
                <w:b/>
                <w:bCs/>
                <w:kern w:val="0"/>
                <w:sz w:val="18"/>
                <w:szCs w:val="18"/>
              </w:rPr>
              <w:t>净资产</w:t>
            </w:r>
            <w:r w:rsidRPr="00FE16A7">
              <w:rPr>
                <w:b/>
                <w:bCs/>
                <w:kern w:val="0"/>
                <w:sz w:val="18"/>
                <w:szCs w:val="18"/>
              </w:rPr>
              <w:t>(</w:t>
            </w:r>
            <w:r w:rsidRPr="00FE16A7">
              <w:rPr>
                <w:rFonts w:ascii="宋体" w:hAnsi="宋体" w:hint="eastAsia"/>
                <w:b/>
                <w:bCs/>
                <w:kern w:val="0"/>
                <w:sz w:val="18"/>
                <w:szCs w:val="18"/>
              </w:rPr>
              <w:t>所有者权益</w:t>
            </w:r>
            <w:r w:rsidRPr="00FE16A7">
              <w:rPr>
                <w:b/>
                <w:bCs/>
                <w:kern w:val="0"/>
                <w:sz w:val="18"/>
                <w:szCs w:val="18"/>
              </w:rPr>
              <w:t>)</w:t>
            </w:r>
          </w:p>
        </w:tc>
        <w:tc>
          <w:tcPr>
            <w:tcW w:w="217" w:type="pct"/>
            <w:shd w:val="clear" w:color="auto" w:fill="auto"/>
            <w:noWrap/>
            <w:vAlign w:val="center"/>
            <w:hideMark/>
          </w:tcPr>
          <w:p w:rsidR="008D52A6" w:rsidRPr="00FE16A7" w:rsidRDefault="008D52A6" w:rsidP="008F2D41">
            <w:pPr>
              <w:widowControl/>
              <w:jc w:val="center"/>
              <w:rPr>
                <w:b/>
                <w:bCs/>
                <w:kern w:val="0"/>
                <w:sz w:val="18"/>
                <w:szCs w:val="18"/>
              </w:rPr>
            </w:pPr>
            <w:r w:rsidRPr="00FE16A7">
              <w:rPr>
                <w:b/>
                <w:bCs/>
                <w:kern w:val="0"/>
                <w:sz w:val="18"/>
                <w:szCs w:val="18"/>
              </w:rPr>
              <w:t xml:space="preserve">16 </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224,844.28</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206,664.37</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-18,179.91</w:t>
            </w:r>
          </w:p>
        </w:tc>
        <w:tc>
          <w:tcPr>
            <w:tcW w:w="865" w:type="pct"/>
            <w:shd w:val="clear" w:color="auto" w:fill="auto"/>
            <w:noWrap/>
            <w:vAlign w:val="center"/>
            <w:hideMark/>
          </w:tcPr>
          <w:p w:rsidR="008D52A6" w:rsidRPr="00FE16A7" w:rsidRDefault="008D52A6" w:rsidP="008F2D41">
            <w:pPr>
              <w:widowControl/>
              <w:jc w:val="right"/>
              <w:rPr>
                <w:b/>
                <w:bCs/>
                <w:kern w:val="0"/>
                <w:sz w:val="18"/>
                <w:szCs w:val="18"/>
              </w:rPr>
            </w:pPr>
            <w:r w:rsidRPr="00FE16A7">
              <w:rPr>
                <w:b/>
                <w:bCs/>
                <w:kern w:val="0"/>
                <w:sz w:val="18"/>
                <w:szCs w:val="18"/>
              </w:rPr>
              <w:t>-8.09</w:t>
            </w:r>
          </w:p>
        </w:tc>
      </w:tr>
    </w:tbl>
    <w:p w:rsidR="008D52A6" w:rsidRPr="00D91118" w:rsidRDefault="008D52A6" w:rsidP="008D52A6">
      <w:pPr>
        <w:pStyle w:val="a3"/>
        <w:spacing w:beforeLines="50" w:before="156" w:line="360" w:lineRule="auto"/>
        <w:ind w:firstLineChars="200" w:firstLine="480"/>
        <w:rPr>
          <w:rFonts w:ascii="Times New Roman"/>
          <w:sz w:val="24"/>
        </w:rPr>
      </w:pPr>
      <w:r w:rsidRPr="00D91118">
        <w:rPr>
          <w:rFonts w:ascii="Times New Roman"/>
          <w:sz w:val="24"/>
        </w:rPr>
        <w:t>本资产评估报告仅为资产评估报告中描述的经济行为提供价值参考依据，评估结论的使用有效期原则上为自评估基准日起一年。如果资产状况、市场状况与评估基准日相关状况相比发生重大变化，委托</w:t>
      </w:r>
      <w:r>
        <w:rPr>
          <w:rFonts w:ascii="Times New Roman" w:hint="eastAsia"/>
          <w:sz w:val="24"/>
        </w:rPr>
        <w:t>人</w:t>
      </w:r>
      <w:r w:rsidRPr="00D91118">
        <w:rPr>
          <w:rFonts w:ascii="Times New Roman"/>
          <w:sz w:val="24"/>
        </w:rPr>
        <w:t>应当委托评估机构执行评估更新业务或重新评估。</w:t>
      </w:r>
    </w:p>
    <w:p w:rsidR="008D52A6" w:rsidRPr="00D91118" w:rsidRDefault="008D52A6" w:rsidP="008D52A6">
      <w:pPr>
        <w:spacing w:line="360" w:lineRule="auto"/>
        <w:ind w:firstLineChars="200" w:firstLine="480"/>
        <w:rPr>
          <w:sz w:val="24"/>
        </w:rPr>
      </w:pPr>
      <w:r w:rsidRPr="00D91118">
        <w:rPr>
          <w:sz w:val="24"/>
        </w:rPr>
        <w:t>以上内容摘自资产评估报告正文，欲了解本评估业务的详细情况和正确理解评估结论，应当阅读资产评估报告正文。</w:t>
      </w:r>
    </w:p>
    <w:p w:rsidR="008D52A6" w:rsidRPr="00D91118" w:rsidRDefault="008D52A6" w:rsidP="008D52A6">
      <w:pPr>
        <w:spacing w:line="360" w:lineRule="auto"/>
        <w:ind w:firstLineChars="200" w:firstLine="480"/>
        <w:rPr>
          <w:rFonts w:hint="eastAsia"/>
          <w:sz w:val="24"/>
        </w:rPr>
      </w:pPr>
    </w:p>
    <w:p w:rsidR="00DB4D52" w:rsidRPr="008D52A6" w:rsidRDefault="00DB4D52"/>
    <w:sectPr w:rsidR="00DB4D52" w:rsidRPr="008D52A6" w:rsidSect="009317D0">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52A6"/>
    <w:rsid w:val="006812F9"/>
    <w:rsid w:val="007A2548"/>
    <w:rsid w:val="008B5548"/>
    <w:rsid w:val="008D52A6"/>
    <w:rsid w:val="009317D0"/>
    <w:rsid w:val="00DB4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801E25-8BEF-49C3-97A1-517567821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2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2级,表正文,正文非缩进,特点,正文缩进William,ALT+Z,标题4,正文（首行缩进两字） Char,正文（首行缩进两字） Char Char Char Char,正文（首行缩进两字） Char Char Char Char Char Char,正文缩进1,表正文1,正文非缩进1,正文缩进William1,特点1,ALT+Z1,标题41,正文（首行缩进两字） Char1 Char Char Char,段1,±íÕýÎÄ,ÕýÎÄ·ÇËõ½ø,正文对齐,Alt+X,mr正文缩进,水上"/>
    <w:basedOn w:val="a"/>
    <w:link w:val="Char"/>
    <w:qFormat/>
    <w:rsid w:val="008D52A6"/>
    <w:pPr>
      <w:autoSpaceDE w:val="0"/>
      <w:autoSpaceDN w:val="0"/>
      <w:adjustRightInd w:val="0"/>
      <w:ind w:firstLine="420"/>
      <w:textAlignment w:val="baseline"/>
    </w:pPr>
    <w:rPr>
      <w:rFonts w:ascii="宋体"/>
      <w:kern w:val="0"/>
      <w:szCs w:val="20"/>
    </w:rPr>
  </w:style>
  <w:style w:type="character" w:customStyle="1" w:styleId="Char">
    <w:name w:val="正文缩进 Char"/>
    <w:aliases w:val="正文2级 Char,正文对齐 Char,Alt+X Char,mr正文缩进 Char,正文不缩进 Char,特点 Char Char,水上软件 Char,正文文本 Char Char Char,body text Char,居中 Char,Normal Indent Char,特点 Char1,表正文 Char,正文非缩进 Char,正文缩进William Char,ALT+Z Char,标题4 Char,正文（首行缩进两字） Char Char,正文缩进1 Char,段1 Cha"/>
    <w:link w:val="a3"/>
    <w:qFormat/>
    <w:rsid w:val="008D52A6"/>
    <w:rPr>
      <w:rFonts w:ascii="宋体"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彭海辉</cp:lastModifiedBy>
  <cp:revision>1</cp:revision>
  <dcterms:created xsi:type="dcterms:W3CDTF">2019-12-24T01:24:00Z</dcterms:created>
  <dcterms:modified xsi:type="dcterms:W3CDTF">2019-12-24T01:27:00Z</dcterms:modified>
</cp:coreProperties>
</file>